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6A" w:rsidRDefault="005F126A" w:rsidP="005F126A">
      <w:pPr>
        <w:spacing w:after="242" w:line="259" w:lineRule="auto"/>
        <w:ind w:left="117" w:firstLine="0"/>
        <w:rPr>
          <w:rFonts w:ascii="Avenir Next Medium" w:hAnsi="Avenir Next Medium"/>
          <w:b/>
          <w:szCs w:val="24"/>
        </w:rPr>
      </w:pPr>
      <w:r w:rsidRPr="00132DE4">
        <w:rPr>
          <w:noProof/>
        </w:rPr>
        <w:drawing>
          <wp:anchor distT="0" distB="0" distL="114300" distR="114300" simplePos="0" relativeHeight="251659264" behindDoc="0" locked="0" layoutInCell="1" allowOverlap="1" wp14:anchorId="2468E5A7" wp14:editId="673F04C4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2114550" cy="99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MINT_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BCA" w:rsidRPr="005E590D">
        <w:rPr>
          <w:rFonts w:ascii="Avenir Next Medium" w:hAnsi="Avenir Next Medium"/>
          <w:b/>
          <w:sz w:val="52"/>
        </w:rPr>
        <w:t xml:space="preserve"> </w:t>
      </w:r>
    </w:p>
    <w:p w:rsidR="005F126A" w:rsidRPr="005F126A" w:rsidRDefault="005F126A" w:rsidP="005F126A">
      <w:pPr>
        <w:spacing w:after="242" w:line="259" w:lineRule="auto"/>
        <w:ind w:left="117" w:firstLine="0"/>
        <w:rPr>
          <w:rFonts w:ascii="Avenir Next Medium" w:hAnsi="Avenir Next Medium"/>
          <w:b/>
          <w:szCs w:val="24"/>
        </w:rPr>
      </w:pPr>
    </w:p>
    <w:p w:rsidR="003F3B43" w:rsidRPr="005F126A" w:rsidRDefault="00167BCA">
      <w:pPr>
        <w:spacing w:after="0" w:line="276" w:lineRule="auto"/>
        <w:ind w:left="0" w:firstLine="0"/>
        <w:jc w:val="center"/>
        <w:rPr>
          <w:rFonts w:ascii="United Sans Ex Md" w:hAnsi="United Sans Ex Md"/>
          <w:sz w:val="36"/>
          <w:szCs w:val="36"/>
        </w:rPr>
      </w:pPr>
      <w:r w:rsidRPr="005F126A">
        <w:rPr>
          <w:rFonts w:ascii="United Sans Ex Md" w:hAnsi="United Sans Ex Md"/>
          <w:b/>
          <w:sz w:val="36"/>
          <w:szCs w:val="36"/>
        </w:rPr>
        <w:t>Recommendations to follow to ensure prompt payment.</w:t>
      </w:r>
      <w:r w:rsidRPr="005F126A">
        <w:rPr>
          <w:rFonts w:ascii="United Sans Ex Md" w:hAnsi="United Sans Ex Md"/>
          <w:sz w:val="36"/>
          <w:szCs w:val="36"/>
        </w:rPr>
        <w:t xml:space="preserve"> </w:t>
      </w:r>
    </w:p>
    <w:p w:rsidR="003F3B43" w:rsidRPr="005E590D" w:rsidRDefault="00167BCA">
      <w:pPr>
        <w:spacing w:after="13" w:line="259" w:lineRule="auto"/>
        <w:ind w:left="720" w:firstLine="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</w:rPr>
        <w:t xml:space="preserve"> </w:t>
      </w:r>
    </w:p>
    <w:p w:rsidR="005F17BB" w:rsidRPr="005E590D" w:rsidRDefault="005F17BB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Make sure your W9 has been submitted to Mint construction. </w:t>
      </w:r>
    </w:p>
    <w:p w:rsidR="005F17BB" w:rsidRPr="005E590D" w:rsidRDefault="005F17BB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>Make sure your contractor’s license is up to date and a current copy is submitted to Mint Construction.</w:t>
      </w:r>
    </w:p>
    <w:p w:rsidR="003F3B43" w:rsidRPr="005E590D" w:rsidRDefault="00167BCA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>Submit your pay application with its accompanied schedule of values on or before the date stipulated in your contract.  (Please us</w:t>
      </w:r>
      <w:r w:rsidR="005F17BB" w:rsidRPr="005E590D">
        <w:rPr>
          <w:rFonts w:ascii="Avenir Next Medium" w:hAnsi="Avenir Next Medium"/>
          <w:sz w:val="22"/>
        </w:rPr>
        <w:t>e the forms as directed by Mint</w:t>
      </w:r>
      <w:r w:rsidRPr="005E590D">
        <w:rPr>
          <w:rFonts w:ascii="Avenir Next Medium" w:hAnsi="Avenir Next Medium"/>
          <w:sz w:val="22"/>
        </w:rPr>
        <w:t xml:space="preserve">’s Project Manager.) </w:t>
      </w:r>
    </w:p>
    <w:p w:rsidR="003F3B43" w:rsidRPr="005E590D" w:rsidRDefault="00167BCA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Make sure your “Supplier Affidavit” has been returned to </w:t>
      </w:r>
      <w:r w:rsidR="005F17BB" w:rsidRPr="005E590D">
        <w:rPr>
          <w:rFonts w:ascii="Avenir Next Medium" w:hAnsi="Avenir Next Medium"/>
          <w:sz w:val="22"/>
        </w:rPr>
        <w:t>Mint</w:t>
      </w:r>
      <w:r w:rsidRPr="005E590D">
        <w:rPr>
          <w:rFonts w:ascii="Avenir Next Medium" w:hAnsi="Avenir Next Medium"/>
          <w:sz w:val="22"/>
        </w:rPr>
        <w:t xml:space="preserve"> Construction.  If you do not have a supplier, note that on the Affidavit. </w:t>
      </w:r>
    </w:p>
    <w:p w:rsidR="003F3B43" w:rsidRPr="005E590D" w:rsidRDefault="00167BCA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>With each pay application, submit lien waivers from all your suppliers covering the period of the pay application</w:t>
      </w:r>
      <w:r w:rsidR="005F17BB" w:rsidRPr="005E590D">
        <w:rPr>
          <w:rFonts w:ascii="Avenir Next Medium" w:hAnsi="Avenir Next Medium"/>
          <w:sz w:val="22"/>
        </w:rPr>
        <w:t>.</w:t>
      </w:r>
      <w:r w:rsidRPr="005E590D">
        <w:rPr>
          <w:rFonts w:ascii="Avenir Next Medium" w:hAnsi="Avenir Next Medium"/>
          <w:sz w:val="22"/>
        </w:rPr>
        <w:t xml:space="preserve"> </w:t>
      </w:r>
    </w:p>
    <w:p w:rsidR="003F3B43" w:rsidRPr="005E590D" w:rsidRDefault="00167BCA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Make sure any outstanding change orders have been signed and returned to </w:t>
      </w:r>
      <w:r w:rsidR="005F17BB" w:rsidRPr="005E590D">
        <w:rPr>
          <w:rFonts w:ascii="Avenir Next Medium" w:hAnsi="Avenir Next Medium"/>
          <w:sz w:val="22"/>
        </w:rPr>
        <w:t xml:space="preserve">Mint </w:t>
      </w:r>
      <w:r w:rsidRPr="005E590D">
        <w:rPr>
          <w:rFonts w:ascii="Avenir Next Medium" w:hAnsi="Avenir Next Medium"/>
          <w:sz w:val="22"/>
        </w:rPr>
        <w:t xml:space="preserve">Construction. </w:t>
      </w:r>
    </w:p>
    <w:p w:rsidR="003F3B43" w:rsidRPr="005E590D" w:rsidRDefault="00167BCA">
      <w:pPr>
        <w:numPr>
          <w:ilvl w:val="0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Make sure the following insurance certificates are current and have been submitted to </w:t>
      </w:r>
      <w:r w:rsidR="005F17BB" w:rsidRPr="005E590D">
        <w:rPr>
          <w:rFonts w:ascii="Avenir Next Medium" w:hAnsi="Avenir Next Medium"/>
          <w:sz w:val="22"/>
        </w:rPr>
        <w:t>Mint</w:t>
      </w:r>
      <w:r w:rsidRPr="005E590D">
        <w:rPr>
          <w:rFonts w:ascii="Avenir Next Medium" w:hAnsi="Avenir Next Medium"/>
          <w:sz w:val="22"/>
        </w:rPr>
        <w:t xml:space="preserve"> Construction: </w:t>
      </w:r>
    </w:p>
    <w:p w:rsidR="003F3B43" w:rsidRPr="005E590D" w:rsidRDefault="00167BCA">
      <w:pPr>
        <w:numPr>
          <w:ilvl w:val="1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General Liability, along with a copy of the “Additional Insured Endorsement” which is a separate form from the certificate of liability insurance. </w:t>
      </w:r>
    </w:p>
    <w:p w:rsidR="003F3B43" w:rsidRPr="005E590D" w:rsidRDefault="00167BCA">
      <w:pPr>
        <w:numPr>
          <w:ilvl w:val="1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Automobile </w:t>
      </w:r>
    </w:p>
    <w:p w:rsidR="003F3B43" w:rsidRPr="005E590D" w:rsidRDefault="00167BCA">
      <w:pPr>
        <w:numPr>
          <w:ilvl w:val="1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Worker’s Compensation </w:t>
      </w:r>
    </w:p>
    <w:p w:rsidR="003F3B43" w:rsidRPr="005E590D" w:rsidRDefault="00167BCA">
      <w:pPr>
        <w:numPr>
          <w:ilvl w:val="1"/>
          <w:numId w:val="1"/>
        </w:numPr>
        <w:ind w:hanging="36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2"/>
        </w:rPr>
        <w:t xml:space="preserve">Excess Liability </w:t>
      </w:r>
    </w:p>
    <w:p w:rsidR="003F3B43" w:rsidRPr="005E590D" w:rsidRDefault="003F3B43">
      <w:pPr>
        <w:spacing w:after="0" w:line="259" w:lineRule="auto"/>
        <w:ind w:left="0" w:firstLine="0"/>
        <w:rPr>
          <w:rFonts w:ascii="Avenir Next Medium" w:hAnsi="Avenir Next Medium"/>
        </w:rPr>
      </w:pPr>
    </w:p>
    <w:p w:rsidR="003F3B43" w:rsidRPr="005E590D" w:rsidRDefault="005F17BB">
      <w:pPr>
        <w:spacing w:after="0"/>
        <w:ind w:left="1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b/>
          <w:u w:val="single"/>
        </w:rPr>
        <w:t>Supplier lien waivers will be required before a payment is processed</w:t>
      </w:r>
      <w:r w:rsidRPr="005E590D">
        <w:rPr>
          <w:rFonts w:ascii="Avenir Next Medium" w:hAnsi="Avenir Next Medium"/>
        </w:rPr>
        <w:t>.</w:t>
      </w:r>
      <w:r w:rsidR="00167BCA" w:rsidRPr="005E590D">
        <w:rPr>
          <w:rFonts w:ascii="Avenir Next Medium" w:hAnsi="Avenir Next Medium"/>
        </w:rPr>
        <w:t xml:space="preserve"> </w:t>
      </w:r>
      <w:r w:rsidR="00167BCA" w:rsidRPr="005E590D">
        <w:rPr>
          <w:rFonts w:ascii="Avenir Next Medium" w:hAnsi="Avenir Next Medium"/>
          <w:sz w:val="22"/>
        </w:rPr>
        <w:t xml:space="preserve">Once </w:t>
      </w:r>
      <w:r w:rsidRPr="005E590D">
        <w:rPr>
          <w:rFonts w:ascii="Avenir Next Medium" w:hAnsi="Avenir Next Medium"/>
          <w:sz w:val="22"/>
        </w:rPr>
        <w:t>Mint has received all supplier lien waivers, payment will be processed and a Mint</w:t>
      </w:r>
      <w:r w:rsidR="00167BCA" w:rsidRPr="005E590D">
        <w:rPr>
          <w:rFonts w:ascii="Avenir Next Medium" w:hAnsi="Avenir Next Medium"/>
          <w:sz w:val="22"/>
        </w:rPr>
        <w:t xml:space="preserve"> lien wai</w:t>
      </w:r>
      <w:r w:rsidRPr="005E590D">
        <w:rPr>
          <w:rFonts w:ascii="Avenir Next Medium" w:hAnsi="Avenir Next Medium"/>
          <w:sz w:val="22"/>
        </w:rPr>
        <w:t xml:space="preserve">ver(s) will be e-mailed </w:t>
      </w:r>
      <w:r w:rsidR="00167BCA" w:rsidRPr="005E590D">
        <w:rPr>
          <w:rFonts w:ascii="Avenir Next Medium" w:hAnsi="Avenir Next Medium"/>
          <w:sz w:val="22"/>
        </w:rPr>
        <w:t xml:space="preserve">to you.  Please sign and return it as soon as possible.  Once the lien waiver(s) has been signed and returned, and </w:t>
      </w:r>
      <w:r w:rsidRPr="005E590D">
        <w:rPr>
          <w:rFonts w:ascii="Avenir Next Medium" w:hAnsi="Avenir Next Medium"/>
          <w:sz w:val="22"/>
        </w:rPr>
        <w:t>Mint</w:t>
      </w:r>
      <w:r w:rsidR="00167BCA" w:rsidRPr="005E590D">
        <w:rPr>
          <w:rFonts w:ascii="Avenir Next Medium" w:hAnsi="Avenir Next Medium"/>
          <w:sz w:val="22"/>
        </w:rPr>
        <w:t xml:space="preserve">’s accounting department has the items listed above, your check will be mailed or available for you to pick up. </w:t>
      </w:r>
    </w:p>
    <w:p w:rsidR="003F3B43" w:rsidRPr="005E590D" w:rsidRDefault="00167BCA">
      <w:pPr>
        <w:spacing w:after="0" w:line="259" w:lineRule="auto"/>
        <w:ind w:left="0" w:firstLine="0"/>
        <w:rPr>
          <w:rFonts w:ascii="Avenir Next Medium" w:hAnsi="Avenir Next Medium"/>
          <w:sz w:val="22"/>
        </w:rPr>
      </w:pPr>
      <w:r w:rsidRPr="005E590D">
        <w:rPr>
          <w:rFonts w:ascii="Avenir Next Medium" w:hAnsi="Avenir Next Medium"/>
          <w:sz w:val="20"/>
        </w:rPr>
        <w:t xml:space="preserve"> </w:t>
      </w:r>
    </w:p>
    <w:p w:rsidR="003F3B43" w:rsidRPr="005E590D" w:rsidRDefault="00167BCA">
      <w:pPr>
        <w:spacing w:after="74" w:line="259" w:lineRule="auto"/>
        <w:ind w:left="0" w:firstLine="0"/>
        <w:rPr>
          <w:rFonts w:ascii="Avenir Next Medium" w:hAnsi="Avenir Next Medium"/>
        </w:rPr>
      </w:pPr>
      <w:r w:rsidRPr="005E590D">
        <w:rPr>
          <w:rFonts w:ascii="Avenir Next Medium" w:hAnsi="Avenir Next Medium"/>
          <w:sz w:val="22"/>
        </w:rPr>
        <w:t xml:space="preserve"> </w:t>
      </w:r>
    </w:p>
    <w:p w:rsidR="003F3B43" w:rsidRPr="005E590D" w:rsidRDefault="00167BCA">
      <w:pPr>
        <w:spacing w:after="0" w:line="241" w:lineRule="auto"/>
        <w:ind w:left="2083" w:right="2015" w:firstLine="0"/>
        <w:jc w:val="center"/>
        <w:rPr>
          <w:rFonts w:ascii="Avenir Next Medium" w:hAnsi="Avenir Next Medium"/>
        </w:rPr>
      </w:pPr>
      <w:r w:rsidRPr="005E590D">
        <w:rPr>
          <w:rFonts w:ascii="Avenir Next Medium" w:hAnsi="Avenir Next Medium"/>
          <w:sz w:val="32"/>
        </w:rPr>
        <w:t xml:space="preserve">Submit these items to </w:t>
      </w:r>
      <w:bookmarkStart w:id="0" w:name="_GoBack"/>
      <w:bookmarkEnd w:id="0"/>
      <w:r w:rsidRPr="005E590D">
        <w:rPr>
          <w:rFonts w:ascii="Avenir Next Medium" w:hAnsi="Avenir Next Medium"/>
          <w:color w:val="0000FF"/>
          <w:sz w:val="32"/>
          <w:u w:val="single" w:color="0000FF"/>
        </w:rPr>
        <w:t>accounting@</w:t>
      </w:r>
      <w:r w:rsidR="005F17BB" w:rsidRPr="005E590D">
        <w:rPr>
          <w:rFonts w:ascii="Avenir Next Medium" w:hAnsi="Avenir Next Medium"/>
          <w:color w:val="0000FF"/>
          <w:sz w:val="32"/>
          <w:u w:val="single" w:color="0000FF"/>
        </w:rPr>
        <w:t>buildwithmint.com</w:t>
      </w:r>
      <w:r w:rsidRPr="005E590D">
        <w:rPr>
          <w:rFonts w:ascii="Avenir Next Medium" w:hAnsi="Avenir Next Medium"/>
          <w:sz w:val="32"/>
        </w:rPr>
        <w:t xml:space="preserve"> </w:t>
      </w:r>
    </w:p>
    <w:sectPr w:rsidR="003F3B43" w:rsidRPr="005E590D">
      <w:headerReference w:type="default" r:id="rId8"/>
      <w:footerReference w:type="default" r:id="rId9"/>
      <w:pgSz w:w="12240" w:h="15840"/>
      <w:pgMar w:top="1440" w:right="14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9C" w:rsidRDefault="0086239C" w:rsidP="00E33A40">
      <w:pPr>
        <w:spacing w:after="0" w:line="240" w:lineRule="auto"/>
      </w:pPr>
      <w:r>
        <w:separator/>
      </w:r>
    </w:p>
  </w:endnote>
  <w:endnote w:type="continuationSeparator" w:id="0">
    <w:p w:rsidR="0086239C" w:rsidRDefault="0086239C" w:rsidP="00E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United Sans Ex Md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venir Next Ultra Light">
    <w:panose1 w:val="020B02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6A" w:rsidRPr="00531539" w:rsidRDefault="005F126A" w:rsidP="005F126A">
    <w:pPr>
      <w:pStyle w:val="Footer"/>
      <w:rPr>
        <w:rFonts w:ascii="Avenir Next Ultra Light" w:hAnsi="Avenir Next Ultra Light"/>
        <w:color w:val="7F7F7F" w:themeColor="text1" w:themeTint="80"/>
        <w:sz w:val="18"/>
        <w:szCs w:val="18"/>
      </w:rPr>
    </w:pP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www.buildwithmint.com</w:t>
    </w:r>
    <w:r w:rsidRPr="00531539">
      <w:rPr>
        <w:rFonts w:ascii="Avenir Next Ultra Light" w:hAnsi="Avenir Next Ultra Light"/>
        <w:color w:val="7F7F7F" w:themeColor="text1" w:themeTint="80"/>
        <w:sz w:val="18"/>
        <w:szCs w:val="18"/>
      </w:rPr>
      <w:ptab w:relativeTo="margin" w:alignment="center" w:leader="none"/>
    </w:r>
    <w:r w:rsidRPr="00531539">
      <w:rPr>
        <w:rFonts w:ascii="Avenir Next Ultra Light" w:hAnsi="Avenir Next Ultra Light"/>
        <w:color w:val="7F7F7F" w:themeColor="text1" w:themeTint="80"/>
        <w:sz w:val="18"/>
        <w:szCs w:val="18"/>
      </w:rPr>
      <w:t xml:space="preserve">   </w:t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651 W GALENA PARK BLVD STE 102, DRAPER UT</w:t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ptab w:relativeTo="margin" w:alignment="right" w:leader="none"/>
    </w:r>
    <w:r w:rsidRPr="00531539">
      <w:rPr>
        <w:rFonts w:ascii="Avenir Next Medium" w:hAnsi="Avenir Next Medium"/>
        <w:color w:val="7F7F7F" w:themeColor="text1" w:themeTint="80"/>
        <w:sz w:val="18"/>
        <w:szCs w:val="18"/>
      </w:rPr>
      <w:t>801.996.3646</w:t>
    </w:r>
  </w:p>
  <w:p w:rsidR="005F126A" w:rsidRDefault="005F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9C" w:rsidRDefault="0086239C" w:rsidP="00E33A40">
      <w:pPr>
        <w:spacing w:after="0" w:line="240" w:lineRule="auto"/>
      </w:pPr>
      <w:r>
        <w:separator/>
      </w:r>
    </w:p>
  </w:footnote>
  <w:footnote w:type="continuationSeparator" w:id="0">
    <w:p w:rsidR="0086239C" w:rsidRDefault="0086239C" w:rsidP="00E3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A40" w:rsidRDefault="00E33A40" w:rsidP="00E33A40">
    <w:pPr>
      <w:pStyle w:val="Header"/>
      <w:ind w:left="0" w:firstLine="0"/>
    </w:pPr>
  </w:p>
  <w:p w:rsidR="00E33A40" w:rsidRDefault="00E33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3753A"/>
    <w:multiLevelType w:val="hybridMultilevel"/>
    <w:tmpl w:val="1FAEB6FC"/>
    <w:lvl w:ilvl="0" w:tplc="9678F2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858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204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12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A3A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291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E9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6D2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47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43"/>
    <w:rsid w:val="00167BCA"/>
    <w:rsid w:val="00337460"/>
    <w:rsid w:val="003F3B43"/>
    <w:rsid w:val="005E590D"/>
    <w:rsid w:val="005F126A"/>
    <w:rsid w:val="005F17BB"/>
    <w:rsid w:val="0086239C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49D3A0"/>
  <w15:docId w15:val="{44FF6519-5CE8-4D3A-B36D-CB5DEA0A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40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33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A4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Winkelkotter</dc:creator>
  <cp:keywords/>
  <cp:lastModifiedBy>Morgan Sharp</cp:lastModifiedBy>
  <cp:revision>7</cp:revision>
  <dcterms:created xsi:type="dcterms:W3CDTF">2017-08-15T16:02:00Z</dcterms:created>
  <dcterms:modified xsi:type="dcterms:W3CDTF">2018-01-08T23:11:00Z</dcterms:modified>
</cp:coreProperties>
</file>